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37A9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37A9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37A9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37A9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37A9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37A9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A01D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BE1A61B" w:rsidR="00377580" w:rsidRPr="00080A71" w:rsidRDefault="00CD1949" w:rsidP="005F6927">
                <w:pPr>
                  <w:tabs>
                    <w:tab w:val="left" w:pos="426"/>
                  </w:tabs>
                  <w:rPr>
                    <w:bCs/>
                    <w:lang w:val="en-IE" w:eastAsia="en-GB"/>
                  </w:rPr>
                </w:pPr>
                <w:r>
                  <w:rPr>
                    <w:bCs/>
                    <w:lang w:val="fr-BE" w:eastAsia="en-GB"/>
                  </w:rPr>
                  <w:t>CONNECT-D</w:t>
                </w:r>
                <w:r w:rsidR="00FB38AD">
                  <w:rPr>
                    <w:bCs/>
                    <w:lang w:val="fr-BE" w:eastAsia="en-GB"/>
                  </w:rPr>
                  <w:t>DG2.01</w:t>
                </w:r>
              </w:p>
            </w:tc>
          </w:sdtContent>
        </w:sdt>
      </w:tr>
      <w:tr w:rsidR="00377580" w:rsidRPr="00FB38A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CD1949"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91B14D8" w:rsidR="00377580" w:rsidRPr="00080A71" w:rsidRDefault="00CD1949" w:rsidP="005F6927">
                <w:pPr>
                  <w:tabs>
                    <w:tab w:val="left" w:pos="426"/>
                  </w:tabs>
                  <w:rPr>
                    <w:bCs/>
                    <w:lang w:val="en-IE" w:eastAsia="en-GB"/>
                  </w:rPr>
                </w:pPr>
                <w:r w:rsidRPr="00CD1949">
                  <w:rPr>
                    <w:bCs/>
                    <w:lang w:val="en-IE" w:eastAsia="en-GB"/>
                  </w:rPr>
                  <w:t>Olivier BRING</w:t>
                </w:r>
                <w:r>
                  <w:rPr>
                    <w:bCs/>
                    <w:lang w:val="en-IE" w:eastAsia="en-GB"/>
                  </w:rPr>
                  <w:t>ER</w:t>
                </w:r>
              </w:p>
            </w:sdtContent>
          </w:sdt>
          <w:p w14:paraId="32DD8032" w14:textId="2A9530A7" w:rsidR="00377580" w:rsidRPr="00CD1949" w:rsidRDefault="00937A9D"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sdt>
                  <w:sdtPr>
                    <w:rPr>
                      <w:bCs/>
                      <w:lang w:val="fr-BE" w:eastAsia="en-GB"/>
                    </w:rPr>
                    <w:id w:val="1806588611"/>
                    <w:placeholder>
                      <w:docPart w:val="716C717945D54ADCBDA2EAD87ED7A670"/>
                    </w:placeholder>
                  </w:sdtPr>
                  <w:sdtEndPr/>
                  <w:sdtContent>
                    <w:r w:rsidR="00FB38AD">
                      <w:rPr>
                        <w:bCs/>
                        <w:lang w:eastAsia="en-GB"/>
                      </w:rPr>
                      <w:t>1er</w:t>
                    </w:r>
                  </w:sdtContent>
                </w:sdt>
              </w:sdtContent>
            </w:sdt>
            <w:r w:rsidR="00377580" w:rsidRPr="00CD1949">
              <w:rPr>
                <w:bCs/>
                <w:lang w:val="en-IE" w:eastAsia="en-GB"/>
              </w:rPr>
              <w:t xml:space="preserve"> trimestre</w:t>
            </w:r>
            <w:r w:rsidR="00B566C1" w:rsidRPr="00CD1949">
              <w:rPr>
                <w:bCs/>
                <w:lang w:val="en-I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FB38AD">
                      <w:rPr>
                        <w:bCs/>
                        <w:lang w:val="en-IE" w:eastAsia="en-GB"/>
                      </w:rPr>
                      <w:t>2026</w:t>
                    </w:r>
                  </w:sdtContent>
                </w:sdt>
              </w:sdtContent>
            </w:sdt>
            <w:r w:rsidR="00377580" w:rsidRPr="00CD1949">
              <w:rPr>
                <w:bCs/>
                <w:lang w:val="en-IE" w:eastAsia="en-GB"/>
              </w:rPr>
              <w:t xml:space="preserve"> </w:t>
            </w:r>
          </w:p>
          <w:p w14:paraId="768BBE26" w14:textId="770A7796" w:rsidR="00377580" w:rsidRPr="00CD1949" w:rsidRDefault="00937A9D"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CD1949">
                  <w:rPr>
                    <w:bCs/>
                    <w:lang w:val="en-IE" w:eastAsia="en-GB"/>
                  </w:rPr>
                  <w:t>2</w:t>
                </w:r>
              </w:sdtContent>
            </w:sdt>
            <w:r w:rsidR="00377580" w:rsidRPr="00CD1949">
              <w:rPr>
                <w:bCs/>
                <w:lang w:val="en-IE" w:eastAsia="en-GB"/>
              </w:rPr>
              <w:t xml:space="preserve"> années</w:t>
            </w:r>
            <w:r w:rsidR="00377580" w:rsidRPr="00CD1949">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CD1949">
                  <w:rPr>
                    <w:rFonts w:ascii="MS Gothic" w:eastAsia="MS Gothic" w:hAnsi="MS Gothic" w:hint="eastAsia"/>
                    <w:bCs/>
                    <w:szCs w:val="24"/>
                    <w:lang w:val="en-IE" w:eastAsia="en-GB"/>
                  </w:rPr>
                  <w:t>☒</w:t>
                </w:r>
              </w:sdtContent>
            </w:sdt>
            <w:r w:rsidR="00377580" w:rsidRPr="00CD1949">
              <w:rPr>
                <w:bCs/>
                <w:lang w:val="en-IE" w:eastAsia="en-GB"/>
              </w:rPr>
              <w:t xml:space="preserve"> Bruxelles </w:t>
            </w:r>
            <w:r w:rsidR="0092295D" w:rsidRPr="00CD1949">
              <w:rPr>
                <w:bCs/>
                <w:lang w:val="en-IE" w:eastAsia="en-GB"/>
              </w:rPr>
              <w:t xml:space="preserve"> </w:t>
            </w:r>
            <w:r w:rsidR="00377580" w:rsidRPr="00CD1949">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CD1949">
                  <w:rPr>
                    <w:rFonts w:ascii="MS Gothic" w:eastAsia="MS Gothic" w:hAnsi="MS Gothic"/>
                    <w:bCs/>
                    <w:szCs w:val="24"/>
                    <w:lang w:val="en-IE" w:eastAsia="en-GB"/>
                  </w:rPr>
                  <w:t>☐</w:t>
                </w:r>
              </w:sdtContent>
            </w:sdt>
            <w:r w:rsidR="00377580" w:rsidRPr="00CD1949">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CD1949">
                  <w:rPr>
                    <w:rFonts w:ascii="MS Gothic" w:eastAsia="MS Gothic" w:hAnsi="MS Gothic"/>
                    <w:bCs/>
                    <w:szCs w:val="24"/>
                    <w:lang w:val="en-IE" w:eastAsia="en-GB"/>
                  </w:rPr>
                  <w:t>☐</w:t>
                </w:r>
              </w:sdtContent>
            </w:sdt>
            <w:r w:rsidR="00377580" w:rsidRPr="00CD1949">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CD1949">
                  <w:rPr>
                    <w:rStyle w:val="PlaceholderText"/>
                    <w:lang w:val="en-IE"/>
                  </w:rPr>
                  <w:t>Click or tap here to enter text.</w:t>
                </w:r>
              </w:sdtContent>
            </w:sdt>
          </w:p>
          <w:p w14:paraId="6A0ABCA6" w14:textId="77777777" w:rsidR="00377580" w:rsidRPr="00CD1949"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8CC8E5E"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AF900D8"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37A9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37A9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37A9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E6181AB"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FB38A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CC077A6"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2" o:title=""/>
                </v:shape>
                <w:control r:id="rId23" w:name="OptionButton2" w:shapeid="_x0000_i1045"/>
              </w:object>
            </w:r>
            <w:r>
              <w:rPr>
                <w:bCs/>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38C2EFE4"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937A9D">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971743933"/>
            <w:placeholder>
              <w:docPart w:val="5A482FF5BD0A4015AA81FAE86E29A11E"/>
            </w:placeholder>
          </w:sdtPr>
          <w:sdtEndPr/>
          <w:sdtContent>
            <w:p w14:paraId="18140A21" w14:textId="2D1034BB" w:rsidR="001A0074" w:rsidRPr="00CD1949" w:rsidRDefault="00CD1949" w:rsidP="001A0074">
              <w:pPr>
                <w:rPr>
                  <w:lang w:eastAsia="en-GB"/>
                </w:rPr>
              </w:pPr>
              <w:r w:rsidRPr="00CD1949">
                <w:rPr>
                  <w:lang w:eastAsia="en-GB"/>
                </w:rPr>
                <w:t>L’unité D</w:t>
              </w:r>
              <w:r w:rsidR="00FB38AD">
                <w:rPr>
                  <w:lang w:eastAsia="en-GB"/>
                </w:rPr>
                <w:t>DG2.01</w:t>
              </w:r>
              <w:r w:rsidRPr="00CD1949">
                <w:rPr>
                  <w:lang w:eastAsia="en-GB"/>
                </w:rPr>
                <w:t xml:space="preserve"> est chargée de coordonner la dimension internationale de la politique numérique de la Commission européenne. L’unité coordonne la position internationale de la Commission sur les questions numériques au niveau bilatéral avec les pays et régions en dehors de l’Union, ainsi que dans des forums multilatéraux et internationaux.</w:t>
              </w:r>
            </w:p>
          </w:sdtContent>
        </w:sdt>
      </w:sdtContent>
    </w:sdt>
    <w:p w14:paraId="30B422AA" w14:textId="77777777" w:rsidR="00301CA3" w:rsidRPr="00FB38A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lastRenderedPageBreak/>
        <w:t>Présentation du poste (nous proposons)</w:t>
      </w:r>
    </w:p>
    <w:sdt>
      <w:sdtPr>
        <w:rPr>
          <w:lang w:val="fr-BE" w:eastAsia="en-GB"/>
        </w:rPr>
        <w:id w:val="-723136291"/>
        <w:placeholder>
          <w:docPart w:val="43375E7FB7294216B3B48CC222A08C2F"/>
        </w:placeholder>
      </w:sdtPr>
      <w:sdtEndPr/>
      <w:sdtContent>
        <w:sdt>
          <w:sdtPr>
            <w:rPr>
              <w:lang w:val="fr-BE" w:eastAsia="en-GB"/>
            </w:rPr>
            <w:id w:val="2121876637"/>
            <w:placeholder>
              <w:docPart w:val="CB778F8DB785488BBA4BEA37031EA06E"/>
            </w:placeholder>
          </w:sdtPr>
          <w:sdtEndPr/>
          <w:sdtContent>
            <w:p w14:paraId="3B1D2FA2" w14:textId="42F9E9D1" w:rsidR="001A0074" w:rsidRPr="00CD1949" w:rsidRDefault="00CD1949" w:rsidP="001A0074">
              <w:pPr>
                <w:rPr>
                  <w:lang w:eastAsia="en-GB"/>
                </w:rPr>
              </w:pPr>
              <w:r w:rsidRPr="00CD1949">
                <w:rPr>
                  <w:lang w:eastAsia="en-GB"/>
                </w:rPr>
                <w:t xml:space="preserve">Dans le cadre de l’unité D3, le secteur de la normalisation des TIC élabore et met en œuvre la politique de normalisation de l’UE en matière de TIC, qui comprend la coordination des activités de normalisation des TIC au sein de la Commission; la mise en œuvre des actions liées aux TIC de la stratégie de normalisation de l’UE; la participation à la gouvernance et aux organes techniques des organismes d’élaboration de normes; la liaison entre les parties prenantes participant à la normalisation des TIC; la gestion de la plateforme pluripartite sur la normalisation des TIC; le soutien de la coopération internationale en matière de normalisation des TIC, la promotion, au niveau international, des normes de l’UE en matière de TIC et la gestion de projets financés par l’UE en matière de normalisation des TIC. </w:t>
              </w:r>
            </w:p>
          </w:sdtContent>
        </w:sdt>
      </w:sdtContent>
    </w:sdt>
    <w:p w14:paraId="3D69C09B" w14:textId="77777777" w:rsidR="00301CA3" w:rsidRPr="00CD194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color w:val="auto"/>
          <w:sz w:val="24"/>
          <w:lang w:val="fr-BE" w:eastAsia="en-GB"/>
        </w:rPr>
        <w:id w:val="-689827953"/>
        <w:placeholder>
          <w:docPart w:val="C681F6FA0FB94712B2C889AACA29AC9D"/>
        </w:placeholder>
      </w:sdtPr>
      <w:sdtEndPr/>
      <w:sdtContent>
        <w:sdt>
          <w:sdtPr>
            <w:rPr>
              <w:color w:val="auto"/>
              <w:sz w:val="24"/>
              <w:lang w:val="fr-BE" w:eastAsia="en-GB"/>
            </w:rPr>
            <w:id w:val="-787586915"/>
            <w:placeholder>
              <w:docPart w:val="834167E7BE3247838603997877DF8DBF"/>
            </w:placeholder>
          </w:sdtPr>
          <w:sdtEndPr/>
          <w:sdtContent>
            <w:p w14:paraId="5D769D57" w14:textId="77777777" w:rsidR="00CD1949" w:rsidRDefault="00CD1949" w:rsidP="00CD1949">
              <w:pPr>
                <w:pStyle w:val="P68B1DB1-Normal5"/>
                <w:spacing w:after="0" w:line="240" w:lineRule="auto"/>
                <w:ind w:left="426"/>
                <w:jc w:val="both"/>
                <w:rPr>
                  <w:lang w:val="fr-FR"/>
                </w:rPr>
              </w:pPr>
              <w:r>
                <w:rPr>
                  <w:lang w:val="fr-FR"/>
                </w:rPr>
                <w:t>Sous la supervision du chef d’unité et des orientations techniques du chef de secteur, les experts nationaux détachés (END) contribueront à l’élaboration et à la mise en œuvre de la politique de normalisation des TIC au niveau de l’UE.</w:t>
              </w:r>
            </w:p>
            <w:p w14:paraId="2A7EF1EA" w14:textId="77777777" w:rsidR="00CD1949" w:rsidRDefault="00CD1949" w:rsidP="00CD1949">
              <w:pPr>
                <w:spacing w:after="0"/>
                <w:ind w:left="426"/>
                <w:rPr>
                  <w:color w:val="000000"/>
                </w:rPr>
              </w:pPr>
            </w:p>
            <w:p w14:paraId="631379A5" w14:textId="77777777" w:rsidR="00CD1949" w:rsidRDefault="00CD1949" w:rsidP="00CD1949">
              <w:pPr>
                <w:pStyle w:val="P68B1DB1-Normal5"/>
                <w:spacing w:after="0" w:line="240" w:lineRule="auto"/>
                <w:ind w:left="426"/>
                <w:jc w:val="both"/>
                <w:rPr>
                  <w:lang w:val="fr-FR"/>
                </w:rPr>
              </w:pPr>
              <w:r>
                <w:rPr>
                  <w:lang w:val="fr-FR"/>
                </w:rPr>
                <w:t>Ce travail s’accompagnera de contacts réguliers avec les États membres de l’UE, ainsi qu’avec les organisations chargées de l’élaboration des normes; les institutions régionales et internationales, les partenaires partageant les mêmes valeurs, les entreprises privées et la société civile.</w:t>
              </w:r>
            </w:p>
            <w:p w14:paraId="7D2E8E66" w14:textId="77777777" w:rsidR="00CD1949" w:rsidRDefault="00CD1949" w:rsidP="00CD1949">
              <w:pPr>
                <w:spacing w:after="0"/>
                <w:ind w:left="426"/>
                <w:rPr>
                  <w:color w:val="000000"/>
                </w:rPr>
              </w:pPr>
            </w:p>
            <w:p w14:paraId="7E19C8A0" w14:textId="77777777" w:rsidR="00CD1949" w:rsidRDefault="00CD1949" w:rsidP="00CD1949">
              <w:pPr>
                <w:pStyle w:val="P68B1DB1-Normal5"/>
                <w:spacing w:after="0" w:line="240" w:lineRule="auto"/>
                <w:ind w:left="426"/>
                <w:jc w:val="both"/>
                <w:rPr>
                  <w:lang w:val="fr-FR"/>
                </w:rPr>
              </w:pPr>
              <w:r>
                <w:rPr>
                  <w:lang w:val="fr-FR"/>
                </w:rPr>
                <w:t>Sans préjudice du principe de coopération loyale entre les administrations nationales/régionales et européennes, les END ne travailleront pas sur des cas individuels ayant des implications avec des dossiers qu’ils auraient dû traiter au sein de leur administration nationale au cours des deux années précédant leur entrée à la Commission, ni sur des dossiers directement adjacents. En aucun cas, ils ne représentent la Commission pour prendre des engagements, financiers ou autres, ou pour négocier au nom de la Commission.</w:t>
              </w:r>
            </w:p>
            <w:p w14:paraId="3E329FC8" w14:textId="77777777" w:rsidR="00CD1949" w:rsidRDefault="00CD1949" w:rsidP="00CD1949">
              <w:pPr>
                <w:pStyle w:val="P68B1DB1-Normal2"/>
                <w:spacing w:before="100" w:beforeAutospacing="1" w:after="100" w:afterAutospacing="1" w:line="240" w:lineRule="auto"/>
                <w:ind w:left="426"/>
                <w:jc w:val="both"/>
                <w:rPr>
                  <w:lang w:val="fr-FR"/>
                </w:rPr>
              </w:pPr>
              <w:r>
                <w:rPr>
                  <w:lang w:val="fr-FR"/>
                </w:rPr>
                <w:t>Fonctions et tâches</w:t>
              </w:r>
            </w:p>
            <w:p w14:paraId="372886A9" w14:textId="77777777" w:rsidR="00CD1949" w:rsidRDefault="00CD1949" w:rsidP="00CD1949">
              <w:pPr>
                <w:pStyle w:val="P68B1DB1-Normal6"/>
                <w:spacing w:before="100" w:beforeAutospacing="1" w:after="100" w:afterAutospacing="1" w:line="240" w:lineRule="auto"/>
                <w:ind w:left="851" w:hanging="284"/>
                <w:jc w:val="both"/>
                <w:rPr>
                  <w:lang w:val="fr-FR"/>
                </w:rPr>
              </w:pPr>
              <w:r>
                <w:rPr>
                  <w:lang w:val="fr-FR"/>
                </w:rPr>
                <w:t xml:space="preserve">ELABORATION DES POLITIQUES — Contribution à la politique et à la stratégie </w:t>
              </w:r>
            </w:p>
            <w:p w14:paraId="28C2D46B" w14:textId="77777777" w:rsidR="00CD1949" w:rsidRDefault="00CD1949" w:rsidP="00CD1949">
              <w:pPr>
                <w:pStyle w:val="P68B1DB1-ListParagraph7"/>
                <w:numPr>
                  <w:ilvl w:val="0"/>
                  <w:numId w:val="27"/>
                </w:numPr>
                <w:spacing w:before="100" w:beforeAutospacing="1" w:after="100" w:afterAutospacing="1" w:line="240" w:lineRule="auto"/>
                <w:ind w:left="851" w:hanging="284"/>
                <w:jc w:val="both"/>
                <w:rPr>
                  <w:lang w:val="fr-FR"/>
                </w:rPr>
              </w:pPr>
              <w:r>
                <w:rPr>
                  <w:lang w:val="fr-FR"/>
                </w:rPr>
                <w:t>Contribuer à la mise en œuvre de la stratégie de l’UE en matière de normalisation — mise en œuvre de la politique de normalisation internationale et coopération avec d’autres régions.</w:t>
              </w:r>
            </w:p>
            <w:p w14:paraId="555BCA3D" w14:textId="77777777" w:rsidR="00CD1949" w:rsidRDefault="00CD1949" w:rsidP="00CD1949">
              <w:pPr>
                <w:pStyle w:val="P68B1DB1-ListParagraph7"/>
                <w:numPr>
                  <w:ilvl w:val="0"/>
                  <w:numId w:val="27"/>
                </w:numPr>
                <w:spacing w:before="100" w:beforeAutospacing="1" w:after="100" w:afterAutospacing="1" w:line="240" w:lineRule="auto"/>
                <w:ind w:left="851" w:hanging="284"/>
                <w:jc w:val="both"/>
                <w:rPr>
                  <w:lang w:val="fr-FR"/>
                </w:rPr>
              </w:pPr>
              <w:r>
                <w:rPr>
                  <w:lang w:val="fr-FR"/>
                </w:rPr>
                <w:t xml:space="preserve">Contribuer à la mise en œuvre de la stratégie de l’UE en matière de normalisation — élaborationr des actions visant à combler le fossé entre la R&amp;I et la normalisation. </w:t>
              </w:r>
            </w:p>
            <w:p w14:paraId="3D6A56EF" w14:textId="77777777" w:rsidR="00CD1949" w:rsidRDefault="00CD1949" w:rsidP="00CD1949">
              <w:pPr>
                <w:pStyle w:val="P68B1DB1-ListParagraph7"/>
                <w:numPr>
                  <w:ilvl w:val="0"/>
                  <w:numId w:val="27"/>
                </w:numPr>
                <w:spacing w:before="100" w:beforeAutospacing="1" w:after="100" w:afterAutospacing="1" w:line="240" w:lineRule="auto"/>
                <w:ind w:left="851" w:hanging="284"/>
                <w:jc w:val="both"/>
                <w:rPr>
                  <w:lang w:val="fr-FR"/>
                </w:rPr>
              </w:pPr>
              <w:r>
                <w:rPr>
                  <w:lang w:val="fr-FR"/>
                </w:rPr>
                <w:t>Contribuer à la mise en œuvre de la stratégie de l’UE en matière de normalisation — élaboration de mesures visant à améliorer la formation et les compétences en matière de normalisation des TIC.</w:t>
              </w:r>
            </w:p>
            <w:p w14:paraId="3395E152" w14:textId="77777777" w:rsidR="00CD1949" w:rsidRDefault="00CD1949" w:rsidP="00CD1949">
              <w:pPr>
                <w:pStyle w:val="P68B1DB1-ListParagraph8"/>
                <w:numPr>
                  <w:ilvl w:val="0"/>
                  <w:numId w:val="27"/>
                </w:numPr>
                <w:spacing w:before="100" w:beforeAutospacing="1" w:after="100" w:afterAutospacing="1" w:line="240" w:lineRule="auto"/>
                <w:ind w:left="851" w:hanging="284"/>
                <w:jc w:val="both"/>
                <w:rPr>
                  <w:lang w:val="fr-FR"/>
                </w:rPr>
              </w:pPr>
              <w:r>
                <w:rPr>
                  <w:lang w:val="fr-FR"/>
                </w:rPr>
                <w:t>Participer aux instances techniques des organisations d’élaboration de normes.</w:t>
              </w:r>
            </w:p>
            <w:p w14:paraId="17F1E01B" w14:textId="77777777" w:rsidR="00CD1949" w:rsidRDefault="00CD1949" w:rsidP="00CD1949">
              <w:pPr>
                <w:pStyle w:val="P68B1DB1-ListParagraph7"/>
                <w:numPr>
                  <w:ilvl w:val="0"/>
                  <w:numId w:val="27"/>
                </w:numPr>
                <w:spacing w:before="100" w:beforeAutospacing="1" w:after="100" w:afterAutospacing="1" w:line="240" w:lineRule="auto"/>
                <w:ind w:left="851" w:hanging="284"/>
                <w:jc w:val="both"/>
                <w:rPr>
                  <w:lang w:val="fr-FR"/>
                </w:rPr>
              </w:pPr>
              <w:r>
                <w:rPr>
                  <w:lang w:val="fr-FR"/>
                </w:rPr>
                <w:t>Soutenir le fonctionnement du groupe d’experts Plateforme européenne multipartite pour la normalisation des TIC</w:t>
              </w:r>
            </w:p>
            <w:p w14:paraId="352F3311" w14:textId="77777777" w:rsidR="00CD1949" w:rsidRDefault="00CD1949" w:rsidP="00CD1949">
              <w:pPr>
                <w:pStyle w:val="P68B1DB1-ListParagraph7"/>
                <w:numPr>
                  <w:ilvl w:val="0"/>
                  <w:numId w:val="27"/>
                </w:numPr>
                <w:spacing w:before="100" w:beforeAutospacing="1" w:after="100" w:afterAutospacing="1" w:line="240" w:lineRule="auto"/>
                <w:ind w:left="851" w:hanging="284"/>
                <w:jc w:val="both"/>
                <w:rPr>
                  <w:lang w:val="fr-FR"/>
                </w:rPr>
              </w:pPr>
              <w:r>
                <w:rPr>
                  <w:lang w:val="fr-FR"/>
                </w:rPr>
                <w:t>Développer des mesures de soutien aux PME innovantes et à leur participation à la normalisation.</w:t>
              </w:r>
            </w:p>
            <w:p w14:paraId="6EC6E30C" w14:textId="77777777" w:rsidR="00CD1949" w:rsidRDefault="00CD1949" w:rsidP="00CD1949">
              <w:pPr>
                <w:pStyle w:val="P68B1DB1-Normal1"/>
                <w:spacing w:before="100" w:beforeAutospacing="1" w:after="100" w:afterAutospacing="1" w:line="240" w:lineRule="auto"/>
                <w:ind w:left="426"/>
                <w:jc w:val="both"/>
                <w:rPr>
                  <w:lang w:val="fr-FR"/>
                </w:rPr>
              </w:pPr>
              <w:r>
                <w:rPr>
                  <w:lang w:val="fr-FR"/>
                </w:rPr>
                <w:t xml:space="preserve">COORDINATION DES POLITIQUES — Conseils politiques </w:t>
              </w:r>
            </w:p>
            <w:p w14:paraId="5F013553" w14:textId="77777777" w:rsidR="00CD1949" w:rsidRDefault="00CD1949" w:rsidP="00CD1949">
              <w:pPr>
                <w:pStyle w:val="P68B1DB1-ListParagraph7"/>
                <w:numPr>
                  <w:ilvl w:val="0"/>
                  <w:numId w:val="28"/>
                </w:numPr>
                <w:spacing w:before="100" w:beforeAutospacing="1" w:after="100" w:afterAutospacing="1" w:line="240" w:lineRule="auto"/>
                <w:ind w:left="851" w:hanging="284"/>
                <w:jc w:val="both"/>
                <w:rPr>
                  <w:lang w:val="fr-FR"/>
                </w:rPr>
              </w:pPr>
              <w:r>
                <w:rPr>
                  <w:lang w:val="fr-FR"/>
                </w:rPr>
                <w:t>Contribuer à la coordination des activités de normalisation des TIC au sein de la Commission.</w:t>
              </w:r>
            </w:p>
            <w:p w14:paraId="4C6795A1" w14:textId="77777777" w:rsidR="00CD1949" w:rsidRDefault="00CD1949" w:rsidP="00CD1949">
              <w:pPr>
                <w:pStyle w:val="P68B1DB1-ListParagraph7"/>
                <w:numPr>
                  <w:ilvl w:val="0"/>
                  <w:numId w:val="28"/>
                </w:numPr>
                <w:spacing w:before="100" w:beforeAutospacing="1" w:after="100" w:afterAutospacing="1" w:line="240" w:lineRule="auto"/>
                <w:ind w:left="851" w:hanging="284"/>
                <w:jc w:val="both"/>
                <w:rPr>
                  <w:lang w:val="fr-FR"/>
                </w:rPr>
              </w:pPr>
              <w:r>
                <w:rPr>
                  <w:lang w:val="fr-FR"/>
                </w:rPr>
                <w:lastRenderedPageBreak/>
                <w:t>Contribuer à la sensibilisation à la normalisation au moyen d’activités de communication.</w:t>
              </w:r>
            </w:p>
            <w:p w14:paraId="3CE43195" w14:textId="77777777" w:rsidR="00CD1949" w:rsidRDefault="00CD1949" w:rsidP="00CD1949">
              <w:pPr>
                <w:pStyle w:val="P68B1DB1-ListParagraph7"/>
                <w:numPr>
                  <w:ilvl w:val="0"/>
                  <w:numId w:val="28"/>
                </w:numPr>
                <w:spacing w:before="100" w:beforeAutospacing="1" w:after="100" w:afterAutospacing="1" w:line="240" w:lineRule="auto"/>
                <w:ind w:left="851" w:hanging="284"/>
                <w:jc w:val="both"/>
                <w:rPr>
                  <w:lang w:val="fr-FR"/>
                </w:rPr>
              </w:pPr>
              <w:r>
                <w:rPr>
                  <w:lang w:val="fr-FR"/>
                </w:rPr>
                <w:t xml:space="preserve">Rédiger des notes d’information et discours et préparer des présentations sur des questions politiques spécifiques. </w:t>
              </w:r>
            </w:p>
            <w:p w14:paraId="194EF0C8" w14:textId="77777777" w:rsidR="00CD1949" w:rsidRDefault="00CD1949" w:rsidP="00CD1949">
              <w:pPr>
                <w:pStyle w:val="P68B1DB1-ListParagraph7"/>
                <w:numPr>
                  <w:ilvl w:val="0"/>
                  <w:numId w:val="28"/>
                </w:numPr>
                <w:spacing w:before="100" w:beforeAutospacing="1" w:after="100" w:afterAutospacing="1" w:line="240" w:lineRule="auto"/>
                <w:ind w:left="851" w:hanging="284"/>
                <w:jc w:val="both"/>
                <w:rPr>
                  <w:lang w:val="fr-FR"/>
                </w:rPr>
              </w:pPr>
              <w:r>
                <w:rPr>
                  <w:lang w:val="fr-FR"/>
                </w:rPr>
                <w:t xml:space="preserve">Soutenir l’organisation et le déroulement d’événements externes si nécessaire. </w:t>
              </w:r>
            </w:p>
            <w:p w14:paraId="0477DF5C" w14:textId="77777777" w:rsidR="00CD1949" w:rsidRDefault="00CD1949" w:rsidP="00CD1949">
              <w:pPr>
                <w:pStyle w:val="P68B1DB1-ListParagraph7"/>
                <w:numPr>
                  <w:ilvl w:val="0"/>
                  <w:numId w:val="28"/>
                </w:numPr>
                <w:spacing w:before="100" w:beforeAutospacing="1" w:after="100" w:afterAutospacing="1" w:line="240" w:lineRule="auto"/>
                <w:ind w:left="851" w:hanging="284"/>
                <w:jc w:val="both"/>
                <w:rPr>
                  <w:lang w:val="fr-FR"/>
                </w:rPr>
              </w:pPr>
              <w:r>
                <w:rPr>
                  <w:lang w:val="fr-FR"/>
                </w:rPr>
                <w:t>Participer aux groupes interservices et aux réunions de la Commission dans le domaine de la normalisation.</w:t>
              </w:r>
            </w:p>
            <w:p w14:paraId="05C07077" w14:textId="77777777" w:rsidR="00CD1949" w:rsidRDefault="00CD1949" w:rsidP="00CD1949">
              <w:pPr>
                <w:pStyle w:val="P68B1DB1-ListParagraph8"/>
                <w:numPr>
                  <w:ilvl w:val="0"/>
                  <w:numId w:val="28"/>
                </w:numPr>
                <w:spacing w:before="100" w:beforeAutospacing="1" w:after="100" w:afterAutospacing="1" w:line="240" w:lineRule="auto"/>
                <w:ind w:left="851" w:hanging="284"/>
                <w:jc w:val="both"/>
                <w:rPr>
                  <w:lang w:val="fr-FR"/>
                </w:rPr>
              </w:pPr>
              <w:r>
                <w:rPr>
                  <w:lang w:val="fr-FR"/>
                </w:rPr>
                <w:t>Assurer la liaison avec les unités de la direction générale, d’autres services et parties prenantes à l’intérieur et à l’extérieur de la Commission, telles que les organisations européennes et internationales de normalisation, afin d’accomplir les tâches susmentionnées.</w:t>
              </w:r>
            </w:p>
            <w:p w14:paraId="42A746DE" w14:textId="77777777" w:rsidR="00CD1949" w:rsidRDefault="00CD1949" w:rsidP="00CD1949">
              <w:pPr>
                <w:pStyle w:val="P68B1DB1-ListParagraph8"/>
                <w:spacing w:before="100" w:beforeAutospacing="1" w:after="100" w:afterAutospacing="1" w:line="240" w:lineRule="auto"/>
                <w:ind w:left="851"/>
                <w:jc w:val="both"/>
                <w:rPr>
                  <w:lang w:val="fr-FR"/>
                </w:rPr>
              </w:pPr>
            </w:p>
            <w:p w14:paraId="265690FC" w14:textId="77777777" w:rsidR="00CD1949" w:rsidRDefault="00CD1949" w:rsidP="00CD1949">
              <w:pPr>
                <w:pStyle w:val="P68B1DB1-Normal5"/>
                <w:spacing w:after="0" w:line="240" w:lineRule="auto"/>
                <w:ind w:left="426"/>
                <w:jc w:val="both"/>
                <w:rPr>
                  <w:lang w:val="fr-FR"/>
                </w:rPr>
              </w:pPr>
              <w:r>
                <w:rPr>
                  <w:lang w:val="fr-FR"/>
                </w:rPr>
                <w:t>GESTION DE PROJETS, PROGRAMMES ET PROCESSUS</w:t>
              </w:r>
            </w:p>
            <w:p w14:paraId="6204E152" w14:textId="77777777" w:rsidR="00CD1949" w:rsidRDefault="00CD1949" w:rsidP="00CD1949">
              <w:pPr>
                <w:pStyle w:val="P68B1DB1-ListParagraph8"/>
                <w:numPr>
                  <w:ilvl w:val="0"/>
                  <w:numId w:val="29"/>
                </w:numPr>
                <w:spacing w:after="0" w:line="240" w:lineRule="auto"/>
                <w:ind w:left="851" w:hanging="284"/>
                <w:jc w:val="both"/>
                <w:rPr>
                  <w:lang w:val="fr-FR"/>
                </w:rPr>
              </w:pPr>
              <w:r>
                <w:rPr>
                  <w:lang w:val="fr-FR"/>
                </w:rPr>
                <w:t>Contribuer aux stratégies, à l’organisation, au pilotage et au suivi des résultats et des priorités des projets de normalisation des TIC et veiller à leur mise en œuvre.</w:t>
              </w:r>
            </w:p>
            <w:p w14:paraId="7044F575" w14:textId="77777777" w:rsidR="00CD1949" w:rsidRDefault="00CD1949" w:rsidP="00CD1949">
              <w:pPr>
                <w:pStyle w:val="P68B1DB1-ListParagraph8"/>
                <w:numPr>
                  <w:ilvl w:val="0"/>
                  <w:numId w:val="29"/>
                </w:numPr>
                <w:spacing w:after="0" w:line="240" w:lineRule="auto"/>
                <w:ind w:left="851" w:hanging="284"/>
                <w:jc w:val="both"/>
                <w:rPr>
                  <w:lang w:val="fr-FR"/>
                </w:rPr>
              </w:pPr>
              <w:r>
                <w:rPr>
                  <w:lang w:val="fr-FR"/>
                </w:rPr>
                <w:t>Suivre la progression des opérations par rapport au plan fixé et fournir des rapports d’état.</w:t>
              </w:r>
            </w:p>
            <w:p w14:paraId="7E409EA7" w14:textId="269EDAED" w:rsidR="001A0074" w:rsidRPr="00017FBA" w:rsidRDefault="00937A9D" w:rsidP="00CD1949">
              <w:pPr>
                <w:pStyle w:val="ListNumber"/>
                <w:numPr>
                  <w:ilvl w:val="0"/>
                  <w:numId w:val="0"/>
                </w:numPr>
                <w:tabs>
                  <w:tab w:val="left" w:pos="720"/>
                </w:tabs>
                <w:rPr>
                  <w:lang w:val="en-IE" w:eastAsia="en-GB"/>
                </w:rPr>
              </w:pPr>
            </w:p>
          </w:sdtContent>
        </w:sdt>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Default="00377580" w:rsidP="00377580">
      <w:pPr>
        <w:rPr>
          <w:lang w:val="fr-BE" w:eastAsia="en-GB"/>
        </w:rPr>
      </w:pPr>
    </w:p>
    <w:p w14:paraId="58C914D5" w14:textId="77777777" w:rsidR="00CD1949" w:rsidRDefault="00CD1949" w:rsidP="00377580">
      <w:pPr>
        <w:rPr>
          <w:lang w:val="fr-BE" w:eastAsia="en-GB"/>
        </w:rPr>
      </w:pPr>
    </w:p>
    <w:p w14:paraId="358077EA" w14:textId="77777777" w:rsidR="00CD1949" w:rsidRPr="001D3EEC" w:rsidRDefault="00CD1949"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E8C312C"/>
    <w:multiLevelType w:val="hybridMultilevel"/>
    <w:tmpl w:val="283E24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36732E"/>
    <w:multiLevelType w:val="hybridMultilevel"/>
    <w:tmpl w:val="DC6CDD80"/>
    <w:lvl w:ilvl="0" w:tplc="04090001">
      <w:start w:val="1"/>
      <w:numFmt w:val="bullet"/>
      <w:lvlText w:val=""/>
      <w:lvlJc w:val="left"/>
      <w:pPr>
        <w:ind w:left="924" w:hanging="360"/>
      </w:pPr>
      <w:rPr>
        <w:rFonts w:ascii="Symbol" w:hAnsi="Symbol" w:hint="default"/>
      </w:rPr>
    </w:lvl>
    <w:lvl w:ilvl="1" w:tplc="04090003">
      <w:start w:val="1"/>
      <w:numFmt w:val="bullet"/>
      <w:lvlText w:val="o"/>
      <w:lvlJc w:val="left"/>
      <w:pPr>
        <w:ind w:left="1644" w:hanging="360"/>
      </w:pPr>
      <w:rPr>
        <w:rFonts w:ascii="Courier New" w:hAnsi="Courier New" w:cs="Courier New" w:hint="default"/>
      </w:rPr>
    </w:lvl>
    <w:lvl w:ilvl="2" w:tplc="04090005">
      <w:start w:val="1"/>
      <w:numFmt w:val="bullet"/>
      <w:lvlText w:val=""/>
      <w:lvlJc w:val="left"/>
      <w:pPr>
        <w:ind w:left="2364" w:hanging="360"/>
      </w:pPr>
      <w:rPr>
        <w:rFonts w:ascii="Wingdings" w:hAnsi="Wingdings" w:hint="default"/>
      </w:rPr>
    </w:lvl>
    <w:lvl w:ilvl="3" w:tplc="04090001">
      <w:start w:val="1"/>
      <w:numFmt w:val="bullet"/>
      <w:lvlText w:val=""/>
      <w:lvlJc w:val="left"/>
      <w:pPr>
        <w:ind w:left="3084" w:hanging="360"/>
      </w:pPr>
      <w:rPr>
        <w:rFonts w:ascii="Symbol" w:hAnsi="Symbol" w:hint="default"/>
      </w:rPr>
    </w:lvl>
    <w:lvl w:ilvl="4" w:tplc="04090003">
      <w:start w:val="1"/>
      <w:numFmt w:val="bullet"/>
      <w:lvlText w:val="o"/>
      <w:lvlJc w:val="left"/>
      <w:pPr>
        <w:ind w:left="3804" w:hanging="360"/>
      </w:pPr>
      <w:rPr>
        <w:rFonts w:ascii="Courier New" w:hAnsi="Courier New" w:cs="Courier New" w:hint="default"/>
      </w:rPr>
    </w:lvl>
    <w:lvl w:ilvl="5" w:tplc="04090005">
      <w:start w:val="1"/>
      <w:numFmt w:val="bullet"/>
      <w:lvlText w:val=""/>
      <w:lvlJc w:val="left"/>
      <w:pPr>
        <w:ind w:left="4524" w:hanging="360"/>
      </w:pPr>
      <w:rPr>
        <w:rFonts w:ascii="Wingdings" w:hAnsi="Wingdings" w:hint="default"/>
      </w:rPr>
    </w:lvl>
    <w:lvl w:ilvl="6" w:tplc="04090001">
      <w:start w:val="1"/>
      <w:numFmt w:val="bullet"/>
      <w:lvlText w:val=""/>
      <w:lvlJc w:val="left"/>
      <w:pPr>
        <w:ind w:left="5244" w:hanging="360"/>
      </w:pPr>
      <w:rPr>
        <w:rFonts w:ascii="Symbol" w:hAnsi="Symbol" w:hint="default"/>
      </w:rPr>
    </w:lvl>
    <w:lvl w:ilvl="7" w:tplc="04090003">
      <w:start w:val="1"/>
      <w:numFmt w:val="bullet"/>
      <w:lvlText w:val="o"/>
      <w:lvlJc w:val="left"/>
      <w:pPr>
        <w:ind w:left="5964" w:hanging="360"/>
      </w:pPr>
      <w:rPr>
        <w:rFonts w:ascii="Courier New" w:hAnsi="Courier New" w:cs="Courier New" w:hint="default"/>
      </w:rPr>
    </w:lvl>
    <w:lvl w:ilvl="8" w:tplc="04090005">
      <w:start w:val="1"/>
      <w:numFmt w:val="bullet"/>
      <w:lvlText w:val=""/>
      <w:lvlJc w:val="left"/>
      <w:pPr>
        <w:ind w:left="6684" w:hanging="360"/>
      </w:pPr>
      <w:rPr>
        <w:rFonts w:ascii="Wingdings" w:hAnsi="Wingdings" w:hint="default"/>
      </w:rPr>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B3E5E3F"/>
    <w:multiLevelType w:val="hybridMultilevel"/>
    <w:tmpl w:val="AFAA7D4C"/>
    <w:lvl w:ilvl="0" w:tplc="18090001">
      <w:start w:val="1"/>
      <w:numFmt w:val="bullet"/>
      <w:lvlText w:val=""/>
      <w:lvlJc w:val="left"/>
      <w:pPr>
        <w:ind w:left="1146"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9"/>
  </w:num>
  <w:num w:numId="6" w16cid:durableId="181284729">
    <w:abstractNumId w:val="23"/>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5"/>
  </w:num>
  <w:num w:numId="17" w16cid:durableId="359092911">
    <w:abstractNumId w:val="9"/>
  </w:num>
  <w:num w:numId="18" w16cid:durableId="308289900">
    <w:abstractNumId w:val="10"/>
  </w:num>
  <w:num w:numId="19" w16cid:durableId="1964581914">
    <w:abstractNumId w:val="26"/>
  </w:num>
  <w:num w:numId="20" w16cid:durableId="263345260">
    <w:abstractNumId w:val="16"/>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7"/>
  </w:num>
  <w:num w:numId="26" w16cid:durableId="260794862">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393937880">
    <w:abstractNumId w:val="18"/>
  </w:num>
  <w:num w:numId="28" w16cid:durableId="1358391960">
    <w:abstractNumId w:val="14"/>
  </w:num>
  <w:num w:numId="29" w16cid:durableId="206937746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50C46"/>
    <w:rsid w:val="0028413D"/>
    <w:rsid w:val="002841B7"/>
    <w:rsid w:val="002A6E30"/>
    <w:rsid w:val="002B37EB"/>
    <w:rsid w:val="00301CA3"/>
    <w:rsid w:val="00377580"/>
    <w:rsid w:val="00394581"/>
    <w:rsid w:val="00443957"/>
    <w:rsid w:val="00462268"/>
    <w:rsid w:val="004A4BB7"/>
    <w:rsid w:val="004D3B51"/>
    <w:rsid w:val="0053405E"/>
    <w:rsid w:val="00556CBD"/>
    <w:rsid w:val="00571C78"/>
    <w:rsid w:val="00591EC3"/>
    <w:rsid w:val="006A1CB2"/>
    <w:rsid w:val="006B47B6"/>
    <w:rsid w:val="006F23BA"/>
    <w:rsid w:val="0074301E"/>
    <w:rsid w:val="007A10AA"/>
    <w:rsid w:val="007A1396"/>
    <w:rsid w:val="007B5FAE"/>
    <w:rsid w:val="007E131B"/>
    <w:rsid w:val="007E4F35"/>
    <w:rsid w:val="008241B0"/>
    <w:rsid w:val="008315CD"/>
    <w:rsid w:val="00866E7F"/>
    <w:rsid w:val="008870DD"/>
    <w:rsid w:val="008A0FF3"/>
    <w:rsid w:val="0092295D"/>
    <w:rsid w:val="00937A9D"/>
    <w:rsid w:val="00A65B97"/>
    <w:rsid w:val="00A917BE"/>
    <w:rsid w:val="00B2717B"/>
    <w:rsid w:val="00B31DC8"/>
    <w:rsid w:val="00B566C1"/>
    <w:rsid w:val="00BF389A"/>
    <w:rsid w:val="00C518F5"/>
    <w:rsid w:val="00CD1949"/>
    <w:rsid w:val="00D47D0E"/>
    <w:rsid w:val="00D703FC"/>
    <w:rsid w:val="00D82B48"/>
    <w:rsid w:val="00DC5C83"/>
    <w:rsid w:val="00E0579E"/>
    <w:rsid w:val="00E5708E"/>
    <w:rsid w:val="00E850B7"/>
    <w:rsid w:val="00E927FE"/>
    <w:rsid w:val="00F65CC2"/>
    <w:rsid w:val="00FA01D7"/>
    <w:rsid w:val="00FB38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5">
    <w:name w:val="P68B1DB1-Normal5"/>
    <w:basedOn w:val="Normal"/>
    <w:rsid w:val="00CD1949"/>
    <w:pPr>
      <w:spacing w:after="200" w:line="276" w:lineRule="auto"/>
      <w:jc w:val="left"/>
    </w:pPr>
    <w:rPr>
      <w:color w:val="000000"/>
      <w:sz w:val="22"/>
      <w:lang w:val="en-IE"/>
    </w:rPr>
  </w:style>
  <w:style w:type="paragraph" w:customStyle="1" w:styleId="P68B1DB1-Normal1">
    <w:name w:val="P68B1DB1-Normal1"/>
    <w:basedOn w:val="Normal"/>
    <w:rsid w:val="00CD1949"/>
    <w:pPr>
      <w:spacing w:after="200" w:line="276" w:lineRule="auto"/>
      <w:jc w:val="left"/>
    </w:pPr>
    <w:rPr>
      <w:lang w:val="en-IE"/>
    </w:rPr>
  </w:style>
  <w:style w:type="paragraph" w:customStyle="1" w:styleId="P68B1DB1-Normal2">
    <w:name w:val="P68B1DB1-Normal2"/>
    <w:basedOn w:val="Normal"/>
    <w:rsid w:val="00CD1949"/>
    <w:pPr>
      <w:spacing w:after="200" w:line="276" w:lineRule="auto"/>
      <w:jc w:val="left"/>
    </w:pPr>
    <w:rPr>
      <w:b/>
      <w:lang w:val="en-IE"/>
    </w:rPr>
  </w:style>
  <w:style w:type="paragraph" w:customStyle="1" w:styleId="P68B1DB1-Normal6">
    <w:name w:val="P68B1DB1-Normal6"/>
    <w:basedOn w:val="Normal"/>
    <w:rsid w:val="00CD1949"/>
    <w:pPr>
      <w:spacing w:after="200" w:line="276" w:lineRule="auto"/>
      <w:jc w:val="left"/>
    </w:pPr>
    <w:rPr>
      <w:sz w:val="22"/>
      <w:lang w:val="en-IE"/>
    </w:rPr>
  </w:style>
  <w:style w:type="paragraph" w:customStyle="1" w:styleId="P68B1DB1-ListParagraph7">
    <w:name w:val="P68B1DB1-ListParagraph7"/>
    <w:basedOn w:val="ListParagraph"/>
    <w:rsid w:val="00CD1949"/>
    <w:pPr>
      <w:spacing w:after="200" w:line="276" w:lineRule="auto"/>
      <w:jc w:val="left"/>
    </w:pPr>
    <w:rPr>
      <w:sz w:val="22"/>
      <w:lang w:val="en-IE"/>
    </w:rPr>
  </w:style>
  <w:style w:type="paragraph" w:customStyle="1" w:styleId="P68B1DB1-ListParagraph8">
    <w:name w:val="P68B1DB1-ListParagraph8"/>
    <w:basedOn w:val="ListParagraph"/>
    <w:rsid w:val="00CD1949"/>
    <w:pPr>
      <w:spacing w:after="200" w:line="276" w:lineRule="auto"/>
      <w:jc w:val="left"/>
    </w:pPr>
    <w:rPr>
      <w:color w:val="000000"/>
      <w:sz w:val="22"/>
      <w:lang w:val="en-IE"/>
    </w:rPr>
  </w:style>
  <w:style w:type="paragraph" w:styleId="ListParagraph">
    <w:name w:val="List Paragraph"/>
    <w:basedOn w:val="Normal"/>
    <w:semiHidden/>
    <w:locked/>
    <w:rsid w:val="00CD19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18971">
      <w:bodyDiv w:val="1"/>
      <w:marLeft w:val="0"/>
      <w:marRight w:val="0"/>
      <w:marTop w:val="0"/>
      <w:marBottom w:val="0"/>
      <w:divBdr>
        <w:top w:val="none" w:sz="0" w:space="0" w:color="auto"/>
        <w:left w:val="none" w:sz="0" w:space="0" w:color="auto"/>
        <w:bottom w:val="none" w:sz="0" w:space="0" w:color="auto"/>
        <w:right w:val="none" w:sz="0" w:space="0" w:color="auto"/>
      </w:divBdr>
    </w:div>
    <w:div w:id="292292551">
      <w:bodyDiv w:val="1"/>
      <w:marLeft w:val="0"/>
      <w:marRight w:val="0"/>
      <w:marTop w:val="0"/>
      <w:marBottom w:val="0"/>
      <w:divBdr>
        <w:top w:val="none" w:sz="0" w:space="0" w:color="auto"/>
        <w:left w:val="none" w:sz="0" w:space="0" w:color="auto"/>
        <w:bottom w:val="none" w:sz="0" w:space="0" w:color="auto"/>
        <w:right w:val="none" w:sz="0" w:space="0" w:color="auto"/>
      </w:divBdr>
    </w:div>
    <w:div w:id="585263136">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976564983">
      <w:bodyDiv w:val="1"/>
      <w:marLeft w:val="0"/>
      <w:marRight w:val="0"/>
      <w:marTop w:val="0"/>
      <w:marBottom w:val="0"/>
      <w:divBdr>
        <w:top w:val="none" w:sz="0" w:space="0" w:color="auto"/>
        <w:left w:val="none" w:sz="0" w:space="0" w:color="auto"/>
        <w:bottom w:val="none" w:sz="0" w:space="0" w:color="auto"/>
        <w:right w:val="none" w:sz="0" w:space="0" w:color="auto"/>
      </w:divBdr>
    </w:div>
    <w:div w:id="1005208461">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59116030">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485965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716C717945D54ADCBDA2EAD87ED7A670"/>
        <w:category>
          <w:name w:val="General"/>
          <w:gallery w:val="placeholder"/>
        </w:category>
        <w:types>
          <w:type w:val="bbPlcHdr"/>
        </w:types>
        <w:behaviors>
          <w:behavior w:val="content"/>
        </w:behaviors>
        <w:guid w:val="{ECB5253E-3D64-4C08-BE2A-95B13BA76BEC}"/>
      </w:docPartPr>
      <w:docPartBody>
        <w:p w:rsidR="001834DD" w:rsidRDefault="001834DD" w:rsidP="001834DD">
          <w:pPr>
            <w:pStyle w:val="716C717945D54ADCBDA2EAD87ED7A670"/>
          </w:pPr>
          <w:r>
            <w:rPr>
              <w:rStyle w:val="PlaceholderText"/>
              <w:lang w:val="fr-BE"/>
            </w:rPr>
            <w:t>Click or tap here to enter text.</w:t>
          </w:r>
        </w:p>
      </w:docPartBody>
    </w:docPart>
    <w:docPart>
      <w:docPartPr>
        <w:name w:val="5A482FF5BD0A4015AA81FAE86E29A11E"/>
        <w:category>
          <w:name w:val="General"/>
          <w:gallery w:val="placeholder"/>
        </w:category>
        <w:types>
          <w:type w:val="bbPlcHdr"/>
        </w:types>
        <w:behaviors>
          <w:behavior w:val="content"/>
        </w:behaviors>
        <w:guid w:val="{190453A1-FF8C-4404-9BFE-7478209504D9}"/>
      </w:docPartPr>
      <w:docPartBody>
        <w:p w:rsidR="001834DD" w:rsidRDefault="001834DD" w:rsidP="001834DD">
          <w:pPr>
            <w:pStyle w:val="5A482FF5BD0A4015AA81FAE86E29A11E"/>
          </w:pPr>
          <w:r>
            <w:rPr>
              <w:rStyle w:val="PlaceholderText"/>
            </w:rPr>
            <w:t>Click or tap here to enter text.</w:t>
          </w:r>
        </w:p>
      </w:docPartBody>
    </w:docPart>
    <w:docPart>
      <w:docPartPr>
        <w:name w:val="CB778F8DB785488BBA4BEA37031EA06E"/>
        <w:category>
          <w:name w:val="General"/>
          <w:gallery w:val="placeholder"/>
        </w:category>
        <w:types>
          <w:type w:val="bbPlcHdr"/>
        </w:types>
        <w:behaviors>
          <w:behavior w:val="content"/>
        </w:behaviors>
        <w:guid w:val="{C7E06F18-9EC6-41D1-BD8D-1B5FD9BE1D02}"/>
      </w:docPartPr>
      <w:docPartBody>
        <w:p w:rsidR="001834DD" w:rsidRDefault="001834DD" w:rsidP="001834DD">
          <w:pPr>
            <w:pStyle w:val="CB778F8DB785488BBA4BEA37031EA06E"/>
          </w:pPr>
          <w:r>
            <w:rPr>
              <w:rStyle w:val="PlaceholderText"/>
            </w:rPr>
            <w:t>Click or tap here to enter text.</w:t>
          </w:r>
        </w:p>
      </w:docPartBody>
    </w:docPart>
    <w:docPart>
      <w:docPartPr>
        <w:name w:val="834167E7BE3247838603997877DF8DBF"/>
        <w:category>
          <w:name w:val="General"/>
          <w:gallery w:val="placeholder"/>
        </w:category>
        <w:types>
          <w:type w:val="bbPlcHdr"/>
        </w:types>
        <w:behaviors>
          <w:behavior w:val="content"/>
        </w:behaviors>
        <w:guid w:val="{2D678CC1-4707-4EC6-9F66-75CA9B7A19C6}"/>
      </w:docPartPr>
      <w:docPartBody>
        <w:p w:rsidR="001834DD" w:rsidRDefault="001834DD" w:rsidP="001834DD">
          <w:pPr>
            <w:pStyle w:val="834167E7BE3247838603997877DF8DBF"/>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4E31E9E"/>
    <w:multiLevelType w:val="multilevel"/>
    <w:tmpl w:val="BA18CA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024621091">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834DD"/>
    <w:rsid w:val="00534FB6"/>
    <w:rsid w:val="00591EC3"/>
    <w:rsid w:val="007818B4"/>
    <w:rsid w:val="008870DD"/>
    <w:rsid w:val="008F2A96"/>
    <w:rsid w:val="00983F83"/>
    <w:rsid w:val="00B2717B"/>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34DD"/>
  </w:style>
  <w:style w:type="paragraph" w:customStyle="1" w:styleId="716C717945D54ADCBDA2EAD87ED7A670">
    <w:name w:val="716C717945D54ADCBDA2EAD87ED7A670"/>
    <w:rsid w:val="001834DD"/>
    <w:pPr>
      <w:spacing w:line="278" w:lineRule="auto"/>
    </w:pPr>
    <w:rPr>
      <w:kern w:val="2"/>
      <w:sz w:val="24"/>
      <w:szCs w:val="24"/>
      <w14:ligatures w14:val="standardContextual"/>
    </w:rPr>
  </w:style>
  <w:style w:type="paragraph" w:customStyle="1" w:styleId="5A482FF5BD0A4015AA81FAE86E29A11E">
    <w:name w:val="5A482FF5BD0A4015AA81FAE86E29A11E"/>
    <w:rsid w:val="001834DD"/>
    <w:pPr>
      <w:spacing w:line="278" w:lineRule="auto"/>
    </w:pPr>
    <w:rPr>
      <w:kern w:val="2"/>
      <w:sz w:val="24"/>
      <w:szCs w:val="24"/>
      <w14:ligatures w14:val="standardContextual"/>
    </w:rPr>
  </w:style>
  <w:style w:type="paragraph" w:customStyle="1" w:styleId="CB778F8DB785488BBA4BEA37031EA06E">
    <w:name w:val="CB778F8DB785488BBA4BEA37031EA06E"/>
    <w:rsid w:val="001834DD"/>
    <w:pPr>
      <w:spacing w:line="278" w:lineRule="auto"/>
    </w:pPr>
    <w:rPr>
      <w:kern w:val="2"/>
      <w:sz w:val="24"/>
      <w:szCs w:val="24"/>
      <w14:ligatures w14:val="standardContextual"/>
    </w:rPr>
  </w:style>
  <w:style w:type="paragraph" w:customStyle="1" w:styleId="834167E7BE3247838603997877DF8DBF">
    <w:name w:val="834167E7BE3247838603997877DF8DBF"/>
    <w:rsid w:val="001834DD"/>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70321DF1-EEFC-4F68-9628-0DC8AFE4D8B9}"/>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30c666ed-fe46-43d6-bf30-6de2567680e6"/>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1423</Words>
  <Characters>8114</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2025-09-08T14:40:00Z</dcterms:created>
  <dcterms:modified xsi:type="dcterms:W3CDTF">2025-09-11T12:34:00Z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